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68" w:rsidRDefault="00EF0668" w:rsidP="00EF0668">
      <w:pPr>
        <w:jc w:val="both"/>
      </w:pPr>
      <w:r>
        <w:t xml:space="preserve">1.- </w:t>
      </w:r>
      <w:r w:rsidRPr="0033251A">
        <w:rPr>
          <w:b/>
        </w:rPr>
        <w:t>Procedimiento administrativo mediante el cual se convoca a</w:t>
      </w:r>
      <w:r w:rsidRPr="0033251A">
        <w:rPr>
          <w:b/>
          <w:bCs/>
        </w:rPr>
        <w:t xml:space="preserve"> todos los posibles interesados</w:t>
      </w:r>
      <w:r w:rsidRPr="0033251A">
        <w:rPr>
          <w:b/>
        </w:rPr>
        <w:t xml:space="preserve"> para que, sujetándose a las bases establecidas, presenten sus ofertas con la finalidad de </w:t>
      </w:r>
      <w:r w:rsidRPr="0033251A">
        <w:rPr>
          <w:b/>
          <w:bCs/>
        </w:rPr>
        <w:t xml:space="preserve">seleccionar la más conveniente </w:t>
      </w:r>
      <w:r w:rsidRPr="0033251A">
        <w:rPr>
          <w:b/>
        </w:rPr>
        <w:t>para la adquisición, arrendamiento de bienes muebles y contratación de servicios por los sujetos de esta ley.</w:t>
      </w:r>
    </w:p>
    <w:p w:rsidR="00EF0668" w:rsidRPr="0033251A" w:rsidRDefault="00EF0668" w:rsidP="00EF0668">
      <w:pPr>
        <w:contextualSpacing/>
        <w:rPr>
          <w:bCs/>
          <w:iCs/>
        </w:rPr>
      </w:pPr>
      <w:r w:rsidRPr="0033251A">
        <w:rPr>
          <w:bCs/>
          <w:iCs/>
        </w:rPr>
        <w:t>a) Licitación pública</w:t>
      </w:r>
    </w:p>
    <w:p w:rsidR="00EF0668" w:rsidRPr="0033251A" w:rsidRDefault="00EF0668" w:rsidP="00EF0668">
      <w:pPr>
        <w:contextualSpacing/>
        <w:rPr>
          <w:bCs/>
          <w:iCs/>
        </w:rPr>
      </w:pPr>
      <w:r w:rsidRPr="0033251A">
        <w:rPr>
          <w:bCs/>
          <w:iCs/>
        </w:rPr>
        <w:t>b) Adjudicación directa</w:t>
      </w:r>
    </w:p>
    <w:p w:rsidR="00EF0668" w:rsidRPr="0033251A" w:rsidRDefault="00EF0668" w:rsidP="00EF0668">
      <w:pPr>
        <w:contextualSpacing/>
        <w:rPr>
          <w:bCs/>
          <w:iCs/>
        </w:rPr>
      </w:pPr>
      <w:r w:rsidRPr="0033251A">
        <w:rPr>
          <w:bCs/>
          <w:iCs/>
        </w:rPr>
        <w:t>c) Licitación a tres proveedores</w:t>
      </w:r>
    </w:p>
    <w:p w:rsidR="00EF0668" w:rsidRDefault="00EF0668" w:rsidP="00EF0668"/>
    <w:p w:rsidR="00EF0668" w:rsidRDefault="00EF0668" w:rsidP="00EF0668">
      <w:pPr>
        <w:jc w:val="both"/>
      </w:pPr>
      <w:r>
        <w:t xml:space="preserve">2.- </w:t>
      </w:r>
      <w:r w:rsidRPr="0033251A">
        <w:rPr>
          <w:b/>
        </w:rPr>
        <w:t>Llamado a los interesados a participar en determinado procedimiento de adquisiciones o enajenación, que además contiene las condiciones y requisitos detallados de participación en dichos procedimientos</w:t>
      </w:r>
    </w:p>
    <w:p w:rsidR="00EF0668" w:rsidRPr="0033251A" w:rsidRDefault="00EF0668" w:rsidP="00EF0668">
      <w:pPr>
        <w:contextualSpacing/>
        <w:rPr>
          <w:bCs/>
          <w:iCs/>
        </w:rPr>
      </w:pPr>
      <w:r w:rsidRPr="0033251A">
        <w:rPr>
          <w:bCs/>
          <w:iCs/>
        </w:rPr>
        <w:t>a) Pre-convocatoria</w:t>
      </w:r>
    </w:p>
    <w:p w:rsidR="00EF0668" w:rsidRPr="0033251A" w:rsidRDefault="00EF0668" w:rsidP="00EF0668">
      <w:pPr>
        <w:contextualSpacing/>
      </w:pPr>
      <w:r w:rsidRPr="0033251A">
        <w:rPr>
          <w:bCs/>
          <w:iCs/>
        </w:rPr>
        <w:t>b) Convocatoria</w:t>
      </w:r>
    </w:p>
    <w:p w:rsidR="00EF0668" w:rsidRPr="0033251A" w:rsidRDefault="00EF0668" w:rsidP="00EF0668">
      <w:pPr>
        <w:contextualSpacing/>
        <w:rPr>
          <w:bCs/>
          <w:iCs/>
        </w:rPr>
      </w:pPr>
      <w:r w:rsidRPr="0033251A">
        <w:rPr>
          <w:bCs/>
          <w:iCs/>
        </w:rPr>
        <w:t>c) Las Bases</w:t>
      </w:r>
    </w:p>
    <w:p w:rsidR="00EF0668" w:rsidRDefault="00EF0668" w:rsidP="00EF0668"/>
    <w:p w:rsidR="00EF0668" w:rsidRPr="005E514F" w:rsidRDefault="00EF0668" w:rsidP="00EF0668">
      <w:pPr>
        <w:jc w:val="both"/>
      </w:pPr>
      <w:r>
        <w:t xml:space="preserve">3.- </w:t>
      </w:r>
      <w:r w:rsidRPr="0033251A">
        <w:rPr>
          <w:b/>
        </w:rPr>
        <w:t>Órgano rector que dentro de sus facultades es intervenir en los actos de presentación y apertura de ofertas, así como en evaluar las ofertas conforme a los criterios en las bases respectivas, y emitir fallos</w:t>
      </w:r>
    </w:p>
    <w:p w:rsidR="00EF0668" w:rsidRPr="0033251A" w:rsidRDefault="00EF0668" w:rsidP="00EF0668">
      <w:pPr>
        <w:contextualSpacing/>
        <w:rPr>
          <w:bCs/>
          <w:iCs/>
        </w:rPr>
      </w:pPr>
      <w:r w:rsidRPr="0033251A">
        <w:rPr>
          <w:bCs/>
          <w:iCs/>
        </w:rPr>
        <w:t>a) Junta de Aclaraciones</w:t>
      </w:r>
    </w:p>
    <w:p w:rsidR="00EF0668" w:rsidRPr="0033251A" w:rsidRDefault="00EF0668" w:rsidP="00EF0668">
      <w:pPr>
        <w:contextualSpacing/>
        <w:rPr>
          <w:bCs/>
          <w:iCs/>
        </w:rPr>
      </w:pPr>
      <w:r w:rsidRPr="0033251A">
        <w:rPr>
          <w:bCs/>
          <w:iCs/>
        </w:rPr>
        <w:t>b) Padrón de Proveedores</w:t>
      </w:r>
    </w:p>
    <w:p w:rsidR="00EF0668" w:rsidRPr="0033251A" w:rsidRDefault="00EF0668" w:rsidP="00EF0668">
      <w:pPr>
        <w:contextualSpacing/>
        <w:rPr>
          <w:bCs/>
          <w:iCs/>
        </w:rPr>
      </w:pPr>
      <w:r w:rsidRPr="0033251A">
        <w:rPr>
          <w:bCs/>
          <w:iCs/>
        </w:rPr>
        <w:t>c) El Comité</w:t>
      </w:r>
    </w:p>
    <w:p w:rsidR="00EF0668" w:rsidRDefault="00EF0668" w:rsidP="00EF0668">
      <w:pPr>
        <w:rPr>
          <w:b/>
          <w:bCs/>
          <w:i/>
          <w:iCs/>
        </w:rPr>
      </w:pPr>
    </w:p>
    <w:p w:rsidR="00EF0668" w:rsidRDefault="00EF0668" w:rsidP="00EF0668">
      <w:pPr>
        <w:jc w:val="both"/>
      </w:pPr>
      <w:r w:rsidRPr="0012112D">
        <w:rPr>
          <w:bCs/>
        </w:rPr>
        <w:t>4.-</w:t>
      </w:r>
      <w:r>
        <w:rPr>
          <w:b/>
          <w:bCs/>
        </w:rPr>
        <w:t xml:space="preserve"> </w:t>
      </w:r>
      <w:r w:rsidRPr="0033251A">
        <w:rPr>
          <w:b/>
          <w:bCs/>
        </w:rPr>
        <w:t>Procedimiento</w:t>
      </w:r>
      <w:r w:rsidRPr="0033251A">
        <w:rPr>
          <w:b/>
        </w:rPr>
        <w:t xml:space="preserve"> en el cual formulan cuestionamientos que no hayan sido plasmados en las bases de forma previa</w:t>
      </w:r>
    </w:p>
    <w:p w:rsidR="00EF0668" w:rsidRPr="0033251A" w:rsidRDefault="00EF0668" w:rsidP="00EF0668">
      <w:pPr>
        <w:contextualSpacing/>
        <w:rPr>
          <w:bCs/>
          <w:iCs/>
        </w:rPr>
      </w:pPr>
      <w:r w:rsidRPr="0033251A">
        <w:rPr>
          <w:bCs/>
          <w:iCs/>
        </w:rPr>
        <w:t>a) Junta de Aclaraciones</w:t>
      </w:r>
    </w:p>
    <w:p w:rsidR="00EF0668" w:rsidRPr="0033251A" w:rsidRDefault="00EF0668" w:rsidP="00EF0668">
      <w:pPr>
        <w:contextualSpacing/>
        <w:rPr>
          <w:bCs/>
          <w:iCs/>
        </w:rPr>
      </w:pPr>
      <w:r w:rsidRPr="0033251A">
        <w:rPr>
          <w:bCs/>
          <w:iCs/>
        </w:rPr>
        <w:t>b) Apertura de preposiciones</w:t>
      </w:r>
    </w:p>
    <w:p w:rsidR="00EF0668" w:rsidRPr="0033251A" w:rsidRDefault="00EF0668" w:rsidP="00EF0668">
      <w:pPr>
        <w:contextualSpacing/>
        <w:rPr>
          <w:bCs/>
          <w:iCs/>
        </w:rPr>
      </w:pPr>
      <w:r w:rsidRPr="0033251A">
        <w:rPr>
          <w:bCs/>
          <w:iCs/>
        </w:rPr>
        <w:t>c) Evaluación de preposiciones</w:t>
      </w:r>
    </w:p>
    <w:p w:rsidR="00EF0668" w:rsidRPr="0012112D" w:rsidRDefault="00EF0668" w:rsidP="00EF0668">
      <w:pPr>
        <w:contextualSpacing/>
        <w:rPr>
          <w:b/>
          <w:bCs/>
          <w:i/>
          <w:iCs/>
        </w:rPr>
      </w:pPr>
    </w:p>
    <w:p w:rsidR="00EF0668" w:rsidRPr="0033251A" w:rsidRDefault="00EF0668" w:rsidP="00EF0668">
      <w:pPr>
        <w:jc w:val="both"/>
        <w:rPr>
          <w:b/>
        </w:rPr>
      </w:pPr>
      <w:r w:rsidRPr="0012112D">
        <w:t>5.-</w:t>
      </w:r>
      <w:r>
        <w:t xml:space="preserve"> </w:t>
      </w:r>
      <w:r w:rsidRPr="0033251A">
        <w:rPr>
          <w:b/>
        </w:rPr>
        <w:t>Aquella que ejecuten por sí mismos los entes públicos, utilizando personal administrativo y técnico, maquinaria y equipo de construcción propios para el desarrollo de los trabajos.</w:t>
      </w:r>
    </w:p>
    <w:p w:rsidR="00EF0668" w:rsidRPr="0033251A" w:rsidRDefault="00EF0668" w:rsidP="00EF0668">
      <w:pPr>
        <w:contextualSpacing/>
        <w:rPr>
          <w:bCs/>
          <w:iCs/>
        </w:rPr>
      </w:pPr>
      <w:r w:rsidRPr="0033251A">
        <w:rPr>
          <w:bCs/>
          <w:iCs/>
        </w:rPr>
        <w:t>a) Obra Contratada</w:t>
      </w:r>
    </w:p>
    <w:p w:rsidR="00EF0668" w:rsidRPr="0033251A" w:rsidRDefault="00EF0668" w:rsidP="00EF0668">
      <w:pPr>
        <w:contextualSpacing/>
        <w:rPr>
          <w:bCs/>
          <w:iCs/>
        </w:rPr>
      </w:pPr>
      <w:r w:rsidRPr="0033251A">
        <w:rPr>
          <w:bCs/>
          <w:iCs/>
        </w:rPr>
        <w:t xml:space="preserve">b) Obra por Administración Directa </w:t>
      </w:r>
    </w:p>
    <w:p w:rsidR="00EF0668" w:rsidRPr="0033251A" w:rsidRDefault="00EF0668" w:rsidP="00EF0668">
      <w:pPr>
        <w:contextualSpacing/>
      </w:pPr>
      <w:r w:rsidRPr="0033251A">
        <w:rPr>
          <w:bCs/>
          <w:iCs/>
        </w:rPr>
        <w:t>c) Infraestructura</w:t>
      </w:r>
      <w:bookmarkStart w:id="0" w:name="_GoBack"/>
      <w:bookmarkEnd w:id="0"/>
    </w:p>
    <w:p w:rsidR="00E1524D" w:rsidRDefault="00E1524D"/>
    <w:sectPr w:rsidR="00E1524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F9" w:rsidRDefault="00AB71F9" w:rsidP="0033251A">
      <w:pPr>
        <w:spacing w:after="0" w:line="240" w:lineRule="auto"/>
      </w:pPr>
      <w:r>
        <w:separator/>
      </w:r>
    </w:p>
  </w:endnote>
  <w:endnote w:type="continuationSeparator" w:id="0">
    <w:p w:rsidR="00AB71F9" w:rsidRDefault="00AB71F9" w:rsidP="0033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F9" w:rsidRDefault="00AB71F9" w:rsidP="0033251A">
      <w:pPr>
        <w:spacing w:after="0" w:line="240" w:lineRule="auto"/>
      </w:pPr>
      <w:r>
        <w:separator/>
      </w:r>
    </w:p>
  </w:footnote>
  <w:footnote w:type="continuationSeparator" w:id="0">
    <w:p w:rsidR="00AB71F9" w:rsidRDefault="00AB71F9" w:rsidP="0033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1A" w:rsidRDefault="0033251A" w:rsidP="0033251A">
    <w:pPr>
      <w:pStyle w:val="Sinespaciado"/>
      <w:jc w:val="center"/>
      <w:rPr>
        <w:rFonts w:ascii="Cambria" w:eastAsia="Arial Unicode MS" w:hAnsi="Cambria" w:cs="Arial Unicode MS"/>
        <w:b/>
        <w:sz w:val="28"/>
        <w:szCs w:val="28"/>
      </w:rPr>
    </w:pPr>
    <w:r w:rsidRPr="004E0E88">
      <w:rPr>
        <w:rFonts w:ascii="Cambria" w:hAnsi="Cambria"/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 wp14:anchorId="45843644" wp14:editId="7C22A1F2">
          <wp:simplePos x="0" y="0"/>
          <wp:positionH relativeFrom="column">
            <wp:posOffset>5182566</wp:posOffset>
          </wp:positionH>
          <wp:positionV relativeFrom="paragraph">
            <wp:posOffset>-236220</wp:posOffset>
          </wp:positionV>
          <wp:extent cx="1264583" cy="50067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det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583" cy="500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Arial Unicode MS" w:hAnsi="Cambria" w:cs="Arial Unicode MS"/>
        <w:b/>
        <w:sz w:val="28"/>
        <w:szCs w:val="28"/>
      </w:rPr>
      <w:t>CURSO</w:t>
    </w:r>
  </w:p>
  <w:p w:rsidR="0033251A" w:rsidRDefault="0033251A" w:rsidP="0033251A">
    <w:pPr>
      <w:pStyle w:val="Sinespaciado"/>
      <w:jc w:val="center"/>
      <w:rPr>
        <w:rFonts w:ascii="Cambria" w:eastAsia="Arial Unicode MS" w:hAnsi="Cambria" w:cs="Arial Unicode MS"/>
        <w:b/>
        <w:sz w:val="28"/>
        <w:szCs w:val="28"/>
      </w:rPr>
    </w:pPr>
    <w:r>
      <w:rPr>
        <w:rFonts w:ascii="Cambria" w:eastAsia="Arial Unicode MS" w:hAnsi="Cambria" w:cs="Arial Unicode MS"/>
        <w:b/>
        <w:sz w:val="28"/>
        <w:szCs w:val="28"/>
      </w:rPr>
      <w:t xml:space="preserve">MEJORA DE LOS PROCESOS ADMINISTRATIVOS </w:t>
    </w:r>
  </w:p>
  <w:p w:rsidR="0033251A" w:rsidRDefault="0033251A" w:rsidP="0033251A">
    <w:pPr>
      <w:pStyle w:val="Sinespaciado"/>
      <w:jc w:val="center"/>
      <w:rPr>
        <w:rFonts w:ascii="Cambria" w:eastAsia="Arial Unicode MS" w:hAnsi="Cambria" w:cs="Arial Unicode MS"/>
        <w:b/>
        <w:sz w:val="28"/>
        <w:szCs w:val="28"/>
      </w:rPr>
    </w:pPr>
    <w:r>
      <w:rPr>
        <w:rFonts w:ascii="Cambria" w:eastAsia="Arial Unicode MS" w:hAnsi="Cambria" w:cs="Arial Unicode MS"/>
        <w:b/>
        <w:sz w:val="28"/>
        <w:szCs w:val="28"/>
      </w:rPr>
      <w:t xml:space="preserve">EN MATERIA DE ADQUISICIONES, ARRENDAMIENTOS, </w:t>
    </w:r>
  </w:p>
  <w:p w:rsidR="0033251A" w:rsidRPr="004E0E88" w:rsidRDefault="0033251A" w:rsidP="0033251A">
    <w:pPr>
      <w:pStyle w:val="Sinespaciado"/>
      <w:jc w:val="center"/>
      <w:rPr>
        <w:rFonts w:ascii="Cambria" w:eastAsia="Arial Unicode MS" w:hAnsi="Cambria" w:cs="Arial Unicode MS"/>
        <w:b/>
        <w:sz w:val="28"/>
        <w:szCs w:val="28"/>
      </w:rPr>
    </w:pPr>
    <w:r>
      <w:rPr>
        <w:rFonts w:ascii="Cambria" w:eastAsia="Arial Unicode MS" w:hAnsi="Cambria" w:cs="Arial Unicode MS"/>
        <w:b/>
        <w:sz w:val="28"/>
        <w:szCs w:val="28"/>
      </w:rPr>
      <w:t>SERVICIOS Y OBRA PÚBLICA</w:t>
    </w:r>
  </w:p>
  <w:p w:rsidR="0033251A" w:rsidRPr="004E0E88" w:rsidRDefault="0033251A" w:rsidP="0033251A">
    <w:pPr>
      <w:pStyle w:val="Sinespaciado"/>
      <w:jc w:val="center"/>
      <w:rPr>
        <w:rFonts w:ascii="Cambria" w:eastAsia="Arial Unicode MS" w:hAnsi="Cambria" w:cs="Arial Unicode MS"/>
        <w:b/>
        <w:sz w:val="28"/>
        <w:szCs w:val="28"/>
      </w:rPr>
    </w:pPr>
    <w:r>
      <w:rPr>
        <w:rFonts w:ascii="Cambria" w:eastAsia="Arial Unicode MS" w:hAnsi="Cambria" w:cs="Arial Unicode MS"/>
        <w:b/>
        <w:sz w:val="28"/>
        <w:szCs w:val="28"/>
      </w:rPr>
      <w:t>CUESTIONARIO</w:t>
    </w:r>
  </w:p>
  <w:p w:rsidR="0033251A" w:rsidRDefault="003325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68"/>
    <w:rsid w:val="0033251A"/>
    <w:rsid w:val="008739A3"/>
    <w:rsid w:val="00AB71F9"/>
    <w:rsid w:val="00E1524D"/>
    <w:rsid w:val="00E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8FA9E-58B1-48A7-9F69-1B99C279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2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1A"/>
  </w:style>
  <w:style w:type="paragraph" w:styleId="Piedepgina">
    <w:name w:val="footer"/>
    <w:basedOn w:val="Normal"/>
    <w:link w:val="PiedepginaCar"/>
    <w:uiPriority w:val="99"/>
    <w:unhideWhenUsed/>
    <w:rsid w:val="00332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1A"/>
  </w:style>
  <w:style w:type="paragraph" w:styleId="Sinespaciado">
    <w:name w:val="No Spacing"/>
    <w:uiPriority w:val="1"/>
    <w:qFormat/>
    <w:rsid w:val="00332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2019-08-19T17:03:00Z</dcterms:created>
  <dcterms:modified xsi:type="dcterms:W3CDTF">2019-08-19T19:32:00Z</dcterms:modified>
</cp:coreProperties>
</file>